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PHÂN CÔNG GIẢNG VIÊN GIẢNG DẠY HỌC KỲ 2, 2022-2023</w:t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VT2032P2- Vĩnh Thuận. ĐVLK: TRƯỜNG CAO ĐẲNG LUẬT MIỀN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(Ghép với lớp VT2032Q2)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Layout w:type="fixed"/>
        <w:tblLook w:val="0000"/>
      </w:tblPr>
      <w:tblGrid>
        <w:gridCol w:w="572"/>
        <w:gridCol w:w="883"/>
        <w:gridCol w:w="3663"/>
        <w:gridCol w:w="567"/>
        <w:gridCol w:w="810"/>
        <w:gridCol w:w="2655"/>
        <w:gridCol w:w="1665"/>
        <w:tblGridChange w:id="0">
          <w:tblGrid>
            <w:gridCol w:w="572"/>
            <w:gridCol w:w="883"/>
            <w:gridCol w:w="3663"/>
            <w:gridCol w:w="567"/>
            <w:gridCol w:w="810"/>
            <w:gridCol w:w="2655"/>
            <w:gridCol w:w="166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ind w:right="-108" w:hanging="125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ind w:hanging="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ind w:hanging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Mạc Giáng Châu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việc dân sự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0939 148 789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0977.460.904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  <w:r w:rsidDel="00000000" w:rsidR="00000000" w:rsidRPr="00000000">
              <w:rPr>
                <w:sz w:val="24"/>
                <w:szCs w:val="24"/>
                <w:highlight w:val="yellow"/>
                <w:rtl w:val="0"/>
              </w:rPr>
              <w:t xml:space="preserve">(Ghép)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</w:p>
        </w:tc>
      </w:tr>
    </w:tbl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cạnh tranh và bảo vệ quyền lợi người tiêu dùng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Trình tự, thủ tục giải quyết vụ án hình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C3">
      <w:pPr>
        <w:tabs>
          <w:tab w:val="right" w:pos="9960"/>
        </w:tabs>
        <w:rPr>
          <w:b w:val="1"/>
          <w:sz w:val="26"/>
          <w:szCs w:val="26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PwVxk7pYKt7jhHcdI9NBWWRguQ==">AMUW2mX1wfr4JOJcgOZ87EsK1rn821DhVd/DOYtNCYyK1M4Miar2yTggD8IUz4+UyKe428stf1YCsaYEwjCp3ClY/GxktJBL6xfsoEWlylugfl2XEOr+NlQu2EOl2M+RuYiEj7kczHZC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2022-07-12T08:01:00Z</dcterms:created>
  <dc:creator>Admin</dc:creator>
</cp:coreProperties>
</file>